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14248">
      <w:pPr>
        <w:keepNext w:val="0"/>
        <w:keepLines w:val="0"/>
        <w:pageBreakBefore w:val="0"/>
        <w:kinsoku/>
        <w:overflowPunct/>
        <w:topLinePunct w:val="0"/>
        <w:autoSpaceDE/>
        <w:autoSpaceDN/>
        <w:bidi w:val="0"/>
        <w:spacing w:line="24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 </w:t>
      </w:r>
      <w:bookmarkStart w:id="0" w:name="_GoBack"/>
      <w:bookmarkEnd w:id="0"/>
    </w:p>
    <w:p w14:paraId="5A4C4EDD">
      <w:pPr>
        <w:keepNext w:val="0"/>
        <w:keepLines w:val="0"/>
        <w:pageBreakBefore w:val="0"/>
        <w:kinsoku/>
        <w:overflowPunct/>
        <w:topLinePunct w:val="0"/>
        <w:autoSpaceDE/>
        <w:autoSpaceDN/>
        <w:bidi w:val="0"/>
        <w:spacing w:line="240" w:lineRule="auto"/>
        <w:jc w:val="center"/>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2025年度营口市特殊困难老年人家庭适老化改造第三方技术支持机构项目比选评分表</w:t>
      </w:r>
    </w:p>
    <w:p w14:paraId="60AC21E9">
      <w:pPr>
        <w:keepNext w:val="0"/>
        <w:keepLines w:val="0"/>
        <w:pageBreakBefore w:val="0"/>
        <w:kinsoku/>
        <w:overflowPunct/>
        <w:topLinePunct w:val="0"/>
        <w:autoSpaceDE/>
        <w:autoSpaceDN/>
        <w:bidi w:val="0"/>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比选机构名称：                              总分：</w:t>
      </w:r>
    </w:p>
    <w:tbl>
      <w:tblPr>
        <w:tblStyle w:val="3"/>
        <w:tblW w:w="97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96" w:type="dxa"/>
          <w:bottom w:w="56" w:type="dxa"/>
          <w:right w:w="96" w:type="dxa"/>
        </w:tblCellMar>
      </w:tblPr>
      <w:tblGrid>
        <w:gridCol w:w="792"/>
        <w:gridCol w:w="666"/>
        <w:gridCol w:w="792"/>
        <w:gridCol w:w="6740"/>
        <w:gridCol w:w="792"/>
      </w:tblGrid>
      <w:tr w14:paraId="0CFF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792" w:type="dxa"/>
            <w:tcBorders>
              <w:top w:val="single" w:color="000000" w:sz="6" w:space="0"/>
              <w:left w:val="single" w:color="000000" w:sz="6" w:space="0"/>
              <w:bottom w:val="single" w:color="000000" w:sz="6" w:space="0"/>
              <w:right w:val="single" w:color="000000" w:sz="6" w:space="0"/>
            </w:tcBorders>
            <w:noWrap w:val="0"/>
            <w:vAlign w:val="center"/>
          </w:tcPr>
          <w:p w14:paraId="42EAE2FE">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序号</w:t>
            </w:r>
          </w:p>
        </w:tc>
        <w:tc>
          <w:tcPr>
            <w:tcW w:w="666" w:type="dxa"/>
            <w:tcBorders>
              <w:top w:val="single" w:color="000000" w:sz="6" w:space="0"/>
              <w:left w:val="nil"/>
              <w:bottom w:val="single" w:color="000000" w:sz="6" w:space="0"/>
              <w:right w:val="single" w:color="000000" w:sz="6" w:space="0"/>
            </w:tcBorders>
            <w:noWrap w:val="0"/>
            <w:vAlign w:val="center"/>
          </w:tcPr>
          <w:p w14:paraId="50EAFF4A">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评分内容</w:t>
            </w:r>
          </w:p>
        </w:tc>
        <w:tc>
          <w:tcPr>
            <w:tcW w:w="792" w:type="dxa"/>
            <w:tcBorders>
              <w:top w:val="single" w:color="000000" w:sz="6" w:space="0"/>
              <w:left w:val="nil"/>
              <w:bottom w:val="single" w:color="000000" w:sz="6" w:space="0"/>
              <w:right w:val="single" w:color="000000" w:sz="6" w:space="0"/>
            </w:tcBorders>
            <w:noWrap w:val="0"/>
            <w:vAlign w:val="center"/>
          </w:tcPr>
          <w:p w14:paraId="57BA5088">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满分</w:t>
            </w:r>
          </w:p>
        </w:tc>
        <w:tc>
          <w:tcPr>
            <w:tcW w:w="6740" w:type="dxa"/>
            <w:tcBorders>
              <w:top w:val="single" w:color="000000" w:sz="6" w:space="0"/>
              <w:left w:val="nil"/>
              <w:bottom w:val="single" w:color="000000" w:sz="6" w:space="0"/>
              <w:right w:val="single" w:color="000000" w:sz="6" w:space="0"/>
            </w:tcBorders>
            <w:noWrap w:val="0"/>
            <w:vAlign w:val="center"/>
          </w:tcPr>
          <w:p w14:paraId="372005B5">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评分标准</w:t>
            </w:r>
          </w:p>
        </w:tc>
        <w:tc>
          <w:tcPr>
            <w:tcW w:w="792" w:type="dxa"/>
            <w:tcBorders>
              <w:top w:val="single" w:color="000000" w:sz="6" w:space="0"/>
              <w:left w:val="nil"/>
              <w:bottom w:val="single" w:color="000000" w:sz="6" w:space="0"/>
              <w:right w:val="single" w:color="000000" w:sz="6" w:space="0"/>
            </w:tcBorders>
            <w:noWrap w:val="0"/>
            <w:vAlign w:val="center"/>
          </w:tcPr>
          <w:p w14:paraId="760B8E6F">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得分</w:t>
            </w:r>
          </w:p>
        </w:tc>
      </w:tr>
      <w:tr w14:paraId="718C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nil"/>
              <w:left w:val="single" w:color="000000" w:sz="6" w:space="0"/>
              <w:bottom w:val="single" w:color="000000" w:sz="6" w:space="0"/>
              <w:right w:val="single" w:color="000000" w:sz="6" w:space="0"/>
            </w:tcBorders>
            <w:noWrap w:val="0"/>
            <w:vAlign w:val="center"/>
          </w:tcPr>
          <w:p w14:paraId="5EFD5D88">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66" w:type="dxa"/>
            <w:tcBorders>
              <w:top w:val="nil"/>
              <w:left w:val="nil"/>
              <w:bottom w:val="single" w:color="000000" w:sz="6" w:space="0"/>
              <w:right w:val="single" w:color="000000" w:sz="6" w:space="0"/>
            </w:tcBorders>
            <w:noWrap w:val="0"/>
            <w:vAlign w:val="center"/>
          </w:tcPr>
          <w:p w14:paraId="2551D1B6">
            <w:pPr>
              <w:pStyle w:val="2"/>
              <w:adjustRightInd w:val="0"/>
              <w:snapToGrid w:val="0"/>
              <w:spacing w:before="0" w:beforeAutospacing="0" w:after="0" w:afterAutospacing="0" w:line="240" w:lineRule="auto"/>
              <w:jc w:val="center"/>
              <w:rPr>
                <w:rFonts w:hint="eastAsia" w:ascii="仿宋" w:hAnsi="仿宋" w:eastAsia="仿宋" w:cs="仿宋"/>
                <w:b w:val="0"/>
                <w:bCs/>
                <w:color w:val="auto"/>
                <w:w w:val="100"/>
                <w:kern w:val="2"/>
                <w:sz w:val="21"/>
                <w:szCs w:val="21"/>
                <w:highlight w:val="none"/>
              </w:rPr>
            </w:pPr>
          </w:p>
          <w:p w14:paraId="131C68D2">
            <w:pPr>
              <w:pStyle w:val="2"/>
              <w:adjustRightInd w:val="0"/>
              <w:snapToGrid w:val="0"/>
              <w:spacing w:before="0" w:beforeAutospacing="0" w:after="0" w:afterAutospacing="0" w:line="240" w:lineRule="auto"/>
              <w:jc w:val="center"/>
              <w:rPr>
                <w:rFonts w:hint="eastAsia" w:ascii="仿宋" w:hAnsi="仿宋" w:eastAsia="仿宋" w:cs="仿宋"/>
                <w:b w:val="0"/>
                <w:bCs/>
                <w:color w:val="auto"/>
                <w:w w:val="100"/>
                <w:kern w:val="2"/>
                <w:sz w:val="21"/>
                <w:szCs w:val="21"/>
                <w:highlight w:val="none"/>
              </w:rPr>
            </w:pPr>
            <w:r>
              <w:rPr>
                <w:rFonts w:hint="eastAsia" w:ascii="仿宋" w:hAnsi="仿宋" w:eastAsia="仿宋" w:cs="仿宋"/>
                <w:b w:val="0"/>
                <w:bCs/>
                <w:color w:val="auto"/>
                <w:w w:val="100"/>
                <w:kern w:val="2"/>
                <w:sz w:val="21"/>
                <w:szCs w:val="21"/>
                <w:highlight w:val="none"/>
              </w:rPr>
              <w:t>价格部分</w:t>
            </w:r>
          </w:p>
          <w:p w14:paraId="0F336FAC">
            <w:pPr>
              <w:pStyle w:val="2"/>
              <w:adjustRightInd w:val="0"/>
              <w:snapToGrid w:val="0"/>
              <w:spacing w:before="0" w:beforeAutospacing="0" w:after="0" w:afterAutospacing="0" w:line="240" w:lineRule="auto"/>
              <w:ind w:left="0" w:leftChars="0" w:right="0" w:rightChars="0"/>
              <w:jc w:val="center"/>
              <w:rPr>
                <w:rFonts w:hint="default" w:ascii="仿宋" w:hAnsi="仿宋" w:eastAsia="仿宋" w:cs="仿宋"/>
                <w:b w:val="0"/>
                <w:bCs/>
                <w:color w:val="auto"/>
                <w:w w:val="100"/>
                <w:kern w:val="2"/>
                <w:sz w:val="21"/>
                <w:szCs w:val="21"/>
                <w:highlight w:val="none"/>
                <w:lang w:val="en-US" w:eastAsia="zh-CN" w:bidi="ar"/>
              </w:rPr>
            </w:pPr>
          </w:p>
        </w:tc>
        <w:tc>
          <w:tcPr>
            <w:tcW w:w="792" w:type="dxa"/>
            <w:tcBorders>
              <w:top w:val="nil"/>
              <w:left w:val="nil"/>
              <w:bottom w:val="single" w:color="000000" w:sz="6" w:space="0"/>
              <w:right w:val="single" w:color="000000" w:sz="6" w:space="0"/>
            </w:tcBorders>
            <w:noWrap w:val="0"/>
            <w:vAlign w:val="center"/>
          </w:tcPr>
          <w:p w14:paraId="14134D94">
            <w:pPr>
              <w:pStyle w:val="2"/>
              <w:adjustRightInd w:val="0"/>
              <w:snapToGrid w:val="0"/>
              <w:spacing w:before="0" w:beforeAutospacing="0" w:after="0" w:afterAutospacing="0" w:line="240" w:lineRule="auto"/>
              <w:ind w:left="0" w:leftChars="0" w:right="0" w:rightChars="0"/>
              <w:jc w:val="right"/>
              <w:rPr>
                <w:rFonts w:hint="default" w:ascii="仿宋" w:hAnsi="仿宋" w:eastAsia="仿宋" w:cs="仿宋"/>
                <w:b w:val="0"/>
                <w:bCs/>
                <w:color w:val="auto"/>
                <w:w w:val="100"/>
                <w:kern w:val="0"/>
                <w:sz w:val="21"/>
                <w:szCs w:val="21"/>
                <w:highlight w:val="none"/>
                <w:lang w:val="en-US" w:eastAsia="zh-CN" w:bidi="ar"/>
              </w:rPr>
            </w:pPr>
            <w:r>
              <w:rPr>
                <w:rFonts w:hint="eastAsia" w:ascii="仿宋" w:hAnsi="仿宋" w:eastAsia="仿宋" w:cs="仿宋"/>
                <w:b w:val="0"/>
                <w:bCs/>
                <w:color w:val="auto"/>
                <w:w w:val="100"/>
                <w:kern w:val="0"/>
                <w:sz w:val="21"/>
                <w:szCs w:val="21"/>
                <w:highlight w:val="none"/>
                <w:lang w:val="en-US" w:eastAsia="zh-CN" w:bidi="ar"/>
              </w:rPr>
              <w:t>20</w:t>
            </w:r>
          </w:p>
        </w:tc>
        <w:tc>
          <w:tcPr>
            <w:tcW w:w="6740" w:type="dxa"/>
            <w:tcBorders>
              <w:top w:val="nil"/>
              <w:left w:val="nil"/>
              <w:bottom w:val="single" w:color="000000" w:sz="6" w:space="0"/>
              <w:right w:val="single" w:color="000000" w:sz="6" w:space="0"/>
            </w:tcBorders>
            <w:noWrap w:val="0"/>
            <w:vAlign w:val="center"/>
          </w:tcPr>
          <w:p w14:paraId="73FB0EC8">
            <w:pPr>
              <w:numPr>
                <w:ilvl w:val="0"/>
                <w:numId w:val="0"/>
              </w:numPr>
              <w:adjustRightInd w:val="0"/>
              <w:snapToGrid w:val="0"/>
              <w:spacing w:line="240" w:lineRule="auto"/>
              <w:ind w:leftChars="0"/>
              <w:jc w:val="left"/>
              <w:rPr>
                <w:rFonts w:hint="eastAsia" w:ascii="仿宋" w:hAnsi="仿宋" w:eastAsia="仿宋" w:cs="仿宋"/>
                <w:b w:val="0"/>
                <w:bCs/>
                <w:color w:val="auto"/>
                <w:w w:val="100"/>
                <w:kern w:val="0"/>
                <w:sz w:val="21"/>
                <w:szCs w:val="21"/>
                <w:highlight w:val="none"/>
                <w:lang w:val="en-US" w:eastAsia="zh-CN" w:bidi="ar-SA"/>
              </w:rPr>
            </w:pPr>
            <w:r>
              <w:rPr>
                <w:rFonts w:hint="eastAsia" w:ascii="仿宋" w:hAnsi="仿宋" w:eastAsia="仿宋" w:cs="仿宋"/>
                <w:b w:val="0"/>
                <w:bCs/>
                <w:color w:val="auto"/>
                <w:w w:val="100"/>
                <w:kern w:val="0"/>
                <w:sz w:val="21"/>
                <w:szCs w:val="21"/>
                <w:highlight w:val="none"/>
                <w:lang w:val="en-US" w:eastAsia="zh-CN" w:bidi="ar-SA"/>
              </w:rPr>
              <w:t>评标基准价：即满足招标文件要求且投标价格最低的投标报价为评标基准价，其价格分为满分。其他投标人的价格分统一按照下列公式计算：</w:t>
            </w:r>
          </w:p>
          <w:p w14:paraId="2C8442AC">
            <w:pPr>
              <w:numPr>
                <w:ilvl w:val="0"/>
                <w:numId w:val="0"/>
              </w:numPr>
              <w:adjustRightInd w:val="0"/>
              <w:snapToGrid w:val="0"/>
              <w:spacing w:line="240" w:lineRule="auto"/>
              <w:ind w:left="0" w:leftChars="0" w:firstLine="0" w:firstLineChars="0"/>
              <w:jc w:val="left"/>
              <w:rPr>
                <w:rFonts w:hint="eastAsia" w:ascii="仿宋" w:hAnsi="仿宋" w:eastAsia="仿宋" w:cs="仿宋"/>
                <w:b w:val="0"/>
                <w:bCs/>
                <w:color w:val="auto"/>
                <w:w w:val="100"/>
                <w:kern w:val="0"/>
                <w:sz w:val="21"/>
                <w:szCs w:val="21"/>
                <w:highlight w:val="none"/>
                <w:lang w:val="en-US" w:eastAsia="zh-CN" w:bidi="ar-SA"/>
              </w:rPr>
            </w:pPr>
            <w:r>
              <w:rPr>
                <w:rFonts w:hint="eastAsia" w:ascii="仿宋" w:hAnsi="仿宋" w:eastAsia="仿宋" w:cs="仿宋"/>
                <w:b w:val="0"/>
                <w:bCs/>
                <w:color w:val="auto"/>
                <w:w w:val="100"/>
                <w:kern w:val="0"/>
                <w:sz w:val="21"/>
                <w:szCs w:val="21"/>
                <w:highlight w:val="none"/>
                <w:lang w:val="en-US" w:eastAsia="zh-CN" w:bidi="ar-SA"/>
              </w:rPr>
              <w:t>投标报价得分=(评标基准价／投标报价)×20，得分保留至小数点后两位。</w:t>
            </w:r>
          </w:p>
        </w:tc>
        <w:tc>
          <w:tcPr>
            <w:tcW w:w="792" w:type="dxa"/>
            <w:tcBorders>
              <w:top w:val="nil"/>
              <w:left w:val="nil"/>
              <w:bottom w:val="single" w:color="000000" w:sz="6" w:space="0"/>
              <w:right w:val="single" w:color="000000" w:sz="6" w:space="0"/>
            </w:tcBorders>
            <w:noWrap w:val="0"/>
            <w:vAlign w:val="center"/>
          </w:tcPr>
          <w:p w14:paraId="732E4C1B">
            <w:pPr>
              <w:pStyle w:val="2"/>
              <w:adjustRightInd w:val="0"/>
              <w:snapToGrid w:val="0"/>
              <w:spacing w:before="0" w:beforeAutospacing="0" w:after="0" w:afterAutospacing="0" w:line="240" w:lineRule="auto"/>
              <w:ind w:left="0" w:leftChars="0" w:right="0" w:rightChars="0"/>
              <w:jc w:val="center"/>
              <w:rPr>
                <w:rFonts w:hint="eastAsia" w:ascii="仿宋" w:hAnsi="仿宋" w:eastAsia="仿宋" w:cs="仿宋"/>
                <w:b w:val="0"/>
                <w:bCs/>
                <w:color w:val="auto"/>
                <w:w w:val="100"/>
                <w:kern w:val="2"/>
                <w:sz w:val="21"/>
                <w:szCs w:val="21"/>
                <w:highlight w:val="none"/>
                <w:lang w:val="en-US" w:eastAsia="zh-CN" w:bidi="ar"/>
              </w:rPr>
            </w:pPr>
          </w:p>
        </w:tc>
      </w:tr>
      <w:tr w14:paraId="4E8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nil"/>
              <w:left w:val="single" w:color="000000" w:sz="6" w:space="0"/>
              <w:bottom w:val="single" w:color="000000" w:sz="6" w:space="0"/>
              <w:right w:val="single" w:color="000000" w:sz="6" w:space="0"/>
            </w:tcBorders>
            <w:noWrap w:val="0"/>
            <w:vAlign w:val="center"/>
          </w:tcPr>
          <w:p w14:paraId="508E3B5C">
            <w:pPr>
              <w:keepNext w:val="0"/>
              <w:keepLines w:val="0"/>
              <w:pageBreakBefore w:val="0"/>
              <w:kinsoku/>
              <w:overflowPunct/>
              <w:topLinePunct w:val="0"/>
              <w:autoSpaceDE/>
              <w:autoSpaceDN/>
              <w:bidi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66" w:type="dxa"/>
            <w:tcBorders>
              <w:top w:val="nil"/>
              <w:left w:val="nil"/>
              <w:bottom w:val="single" w:color="000000" w:sz="6" w:space="0"/>
              <w:right w:val="single" w:color="000000" w:sz="6" w:space="0"/>
            </w:tcBorders>
            <w:noWrap w:val="0"/>
            <w:vAlign w:val="center"/>
          </w:tcPr>
          <w:p w14:paraId="3E7DF02E">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机构实力</w:t>
            </w:r>
          </w:p>
        </w:tc>
        <w:tc>
          <w:tcPr>
            <w:tcW w:w="792" w:type="dxa"/>
            <w:tcBorders>
              <w:top w:val="nil"/>
              <w:left w:val="nil"/>
              <w:bottom w:val="single" w:color="000000" w:sz="6" w:space="0"/>
              <w:right w:val="single" w:color="000000" w:sz="6" w:space="0"/>
            </w:tcBorders>
            <w:noWrap w:val="0"/>
            <w:vAlign w:val="center"/>
          </w:tcPr>
          <w:p w14:paraId="3E1DDD62">
            <w:pPr>
              <w:keepNext w:val="0"/>
              <w:keepLines w:val="0"/>
              <w:pageBreakBefore w:val="0"/>
              <w:kinsoku/>
              <w:overflowPunct/>
              <w:topLinePunct w:val="0"/>
              <w:autoSpaceDE/>
              <w:autoSpaceDN/>
              <w:bidi w:val="0"/>
              <w:snapToGrid w:val="0"/>
              <w:spacing w:line="240" w:lineRule="auto"/>
              <w:jc w:val="righ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w:t>
            </w:r>
          </w:p>
        </w:tc>
        <w:tc>
          <w:tcPr>
            <w:tcW w:w="6740" w:type="dxa"/>
            <w:tcBorders>
              <w:top w:val="nil"/>
              <w:left w:val="nil"/>
              <w:bottom w:val="single" w:color="000000" w:sz="6" w:space="0"/>
              <w:right w:val="single" w:color="000000" w:sz="6" w:space="0"/>
            </w:tcBorders>
            <w:noWrap w:val="0"/>
            <w:vAlign w:val="center"/>
          </w:tcPr>
          <w:p w14:paraId="4AF6FA12">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分别就办公场所、机构设置、从业时间、诚信荣誉等4个方面评比，最优单项得5分，居中单项得3-4分，最低单项得1-2分，满分20分。</w:t>
            </w:r>
          </w:p>
        </w:tc>
        <w:tc>
          <w:tcPr>
            <w:tcW w:w="792" w:type="dxa"/>
            <w:tcBorders>
              <w:top w:val="nil"/>
              <w:left w:val="nil"/>
              <w:bottom w:val="single" w:color="000000" w:sz="6" w:space="0"/>
              <w:right w:val="single" w:color="000000" w:sz="6" w:space="0"/>
            </w:tcBorders>
            <w:noWrap w:val="0"/>
            <w:vAlign w:val="center"/>
          </w:tcPr>
          <w:p w14:paraId="5AAB1332">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p>
        </w:tc>
      </w:tr>
      <w:tr w14:paraId="5FB0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nil"/>
              <w:left w:val="single" w:color="000000" w:sz="6" w:space="0"/>
              <w:bottom w:val="single" w:color="000000" w:sz="6" w:space="0"/>
              <w:right w:val="single" w:color="000000" w:sz="6" w:space="0"/>
            </w:tcBorders>
            <w:noWrap w:val="0"/>
            <w:vAlign w:val="center"/>
          </w:tcPr>
          <w:p w14:paraId="01241034">
            <w:pPr>
              <w:keepNext w:val="0"/>
              <w:keepLines w:val="0"/>
              <w:pageBreakBefore w:val="0"/>
              <w:kinsoku/>
              <w:overflowPunct/>
              <w:topLinePunct w:val="0"/>
              <w:autoSpaceDE/>
              <w:autoSpaceDN/>
              <w:bidi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66" w:type="dxa"/>
            <w:tcBorders>
              <w:top w:val="nil"/>
              <w:left w:val="nil"/>
              <w:bottom w:val="single" w:color="000000" w:sz="6" w:space="0"/>
              <w:right w:val="single" w:color="000000" w:sz="6" w:space="0"/>
            </w:tcBorders>
            <w:noWrap w:val="0"/>
            <w:vAlign w:val="center"/>
          </w:tcPr>
          <w:p w14:paraId="76C8D1E0">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机构设立年限</w:t>
            </w:r>
          </w:p>
        </w:tc>
        <w:tc>
          <w:tcPr>
            <w:tcW w:w="792" w:type="dxa"/>
            <w:tcBorders>
              <w:top w:val="nil"/>
              <w:left w:val="nil"/>
              <w:bottom w:val="single" w:color="000000" w:sz="6" w:space="0"/>
              <w:right w:val="single" w:color="000000" w:sz="6" w:space="0"/>
            </w:tcBorders>
            <w:noWrap w:val="0"/>
            <w:vAlign w:val="center"/>
          </w:tcPr>
          <w:p w14:paraId="34E00270">
            <w:pPr>
              <w:keepNext w:val="0"/>
              <w:keepLines w:val="0"/>
              <w:pageBreakBefore w:val="0"/>
              <w:kinsoku/>
              <w:overflowPunct/>
              <w:topLinePunct w:val="0"/>
              <w:autoSpaceDE/>
              <w:autoSpaceDN/>
              <w:bidi w:val="0"/>
              <w:snapToGrid w:val="0"/>
              <w:spacing w:line="240" w:lineRule="auto"/>
              <w:jc w:val="righ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6740" w:type="dxa"/>
            <w:tcBorders>
              <w:top w:val="nil"/>
              <w:left w:val="nil"/>
              <w:bottom w:val="single" w:color="000000" w:sz="6" w:space="0"/>
              <w:right w:val="single" w:color="000000" w:sz="6" w:space="0"/>
            </w:tcBorders>
            <w:noWrap w:val="0"/>
            <w:vAlign w:val="center"/>
          </w:tcPr>
          <w:p w14:paraId="7B46A8AC">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从事业务且成立年限满1年的得1分，满3年的得3分，满5年及以上的得5分，最高得5分（以营业执照上的成立日期为准）</w:t>
            </w:r>
          </w:p>
        </w:tc>
        <w:tc>
          <w:tcPr>
            <w:tcW w:w="792" w:type="dxa"/>
            <w:tcBorders>
              <w:top w:val="nil"/>
              <w:left w:val="nil"/>
              <w:bottom w:val="single" w:color="000000" w:sz="6" w:space="0"/>
              <w:right w:val="single" w:color="000000" w:sz="6" w:space="0"/>
            </w:tcBorders>
            <w:noWrap w:val="0"/>
            <w:vAlign w:val="center"/>
          </w:tcPr>
          <w:p w14:paraId="4441D6C2">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p>
        </w:tc>
      </w:tr>
      <w:tr w14:paraId="148B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nil"/>
              <w:left w:val="single" w:color="000000" w:sz="6" w:space="0"/>
              <w:bottom w:val="single" w:color="auto" w:sz="4" w:space="0"/>
              <w:right w:val="single" w:color="000000" w:sz="6" w:space="0"/>
            </w:tcBorders>
            <w:noWrap w:val="0"/>
            <w:vAlign w:val="center"/>
          </w:tcPr>
          <w:p w14:paraId="597E6671">
            <w:pPr>
              <w:keepNext w:val="0"/>
              <w:keepLines w:val="0"/>
              <w:pageBreakBefore w:val="0"/>
              <w:kinsoku/>
              <w:overflowPunct/>
              <w:topLinePunct w:val="0"/>
              <w:autoSpaceDE/>
              <w:autoSpaceDN/>
              <w:bidi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666" w:type="dxa"/>
            <w:tcBorders>
              <w:top w:val="nil"/>
              <w:left w:val="nil"/>
              <w:bottom w:val="single" w:color="auto" w:sz="4" w:space="0"/>
              <w:right w:val="single" w:color="000000" w:sz="6" w:space="0"/>
            </w:tcBorders>
            <w:noWrap w:val="0"/>
            <w:vAlign w:val="center"/>
          </w:tcPr>
          <w:p w14:paraId="730F11C3">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业绩</w:t>
            </w:r>
          </w:p>
        </w:tc>
        <w:tc>
          <w:tcPr>
            <w:tcW w:w="792" w:type="dxa"/>
            <w:tcBorders>
              <w:top w:val="nil"/>
              <w:left w:val="nil"/>
              <w:bottom w:val="single" w:color="auto" w:sz="4" w:space="0"/>
              <w:right w:val="single" w:color="000000" w:sz="6" w:space="0"/>
            </w:tcBorders>
            <w:noWrap w:val="0"/>
            <w:vAlign w:val="center"/>
          </w:tcPr>
          <w:p w14:paraId="5637E365">
            <w:pPr>
              <w:keepNext w:val="0"/>
              <w:keepLines w:val="0"/>
              <w:pageBreakBefore w:val="0"/>
              <w:kinsoku/>
              <w:overflowPunct/>
              <w:topLinePunct w:val="0"/>
              <w:autoSpaceDE/>
              <w:autoSpaceDN/>
              <w:bidi w:val="0"/>
              <w:snapToGrid w:val="0"/>
              <w:spacing w:line="240" w:lineRule="auto"/>
              <w:jc w:val="righ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6740" w:type="dxa"/>
            <w:tcBorders>
              <w:top w:val="nil"/>
              <w:left w:val="nil"/>
              <w:bottom w:val="single" w:color="auto" w:sz="4" w:space="0"/>
              <w:right w:val="single" w:color="000000" w:sz="6" w:space="0"/>
            </w:tcBorders>
            <w:noWrap w:val="0"/>
            <w:vAlign w:val="center"/>
          </w:tcPr>
          <w:p w14:paraId="08323AA3">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1.承接过适老化改造服务项目、居家和社区养老服务项目、养老服务类相关项目的案例</w:t>
            </w:r>
            <w:r>
              <w:rPr>
                <w:rFonts w:hint="eastAsia" w:ascii="仿宋" w:hAnsi="仿宋" w:eastAsia="仿宋" w:cs="仿宋"/>
                <w:sz w:val="21"/>
                <w:szCs w:val="28"/>
                <w:lang w:val="en-US" w:eastAsia="zh-CN"/>
              </w:rPr>
              <w:t>，</w:t>
            </w:r>
            <w:r>
              <w:rPr>
                <w:rFonts w:hint="eastAsia" w:ascii="仿宋" w:hAnsi="仿宋" w:eastAsia="仿宋" w:cs="仿宋"/>
                <w:color w:val="auto"/>
                <w:sz w:val="21"/>
                <w:szCs w:val="21"/>
                <w:lang w:val="en-US" w:eastAsia="zh-CN"/>
              </w:rPr>
              <w:t>每个案例5分，最多得15分。（需提供代理协议复印件；政府采购网网页中标公告截图及业主满意度证明（复印件加盖本单位公章），同一委托单位的项目只算1份。）</w:t>
            </w:r>
          </w:p>
          <w:p w14:paraId="39ABA414">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2.公司社会信誉及获奖情况：参选人获得AAA级信用评价的，得3分；参选人2021年至今获得过优秀招标代理机构荣誉证书的，得2分； </w:t>
            </w:r>
          </w:p>
        </w:tc>
        <w:tc>
          <w:tcPr>
            <w:tcW w:w="792" w:type="dxa"/>
            <w:tcBorders>
              <w:top w:val="nil"/>
              <w:left w:val="nil"/>
              <w:bottom w:val="single" w:color="auto" w:sz="4" w:space="0"/>
              <w:right w:val="single" w:color="000000" w:sz="6" w:space="0"/>
            </w:tcBorders>
            <w:noWrap w:val="0"/>
            <w:vAlign w:val="center"/>
          </w:tcPr>
          <w:p w14:paraId="7954E827">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p>
        </w:tc>
      </w:tr>
      <w:tr w14:paraId="3A86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55D61F6">
            <w:pPr>
              <w:keepNext w:val="0"/>
              <w:keepLines w:val="0"/>
              <w:pageBreakBefore w:val="0"/>
              <w:kinsoku/>
              <w:overflowPunct/>
              <w:topLinePunct w:val="0"/>
              <w:autoSpaceDE/>
              <w:autoSpaceDN/>
              <w:bidi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77072B14">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人员能力</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F2FB668">
            <w:pPr>
              <w:keepNext w:val="0"/>
              <w:keepLines w:val="0"/>
              <w:pageBreakBefore w:val="0"/>
              <w:kinsoku/>
              <w:overflowPunct/>
              <w:topLinePunct w:val="0"/>
              <w:autoSpaceDE/>
              <w:autoSpaceDN/>
              <w:bidi w:val="0"/>
              <w:snapToGrid w:val="0"/>
              <w:spacing w:line="240" w:lineRule="auto"/>
              <w:jc w:val="righ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5DCCA1A">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1.项目团队中持有全国注册监理师证书的总监理工程师，得5分；</w:t>
            </w:r>
          </w:p>
          <w:p w14:paraId="6DEAA1A4">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r>
              <w:rPr>
                <w:rFonts w:hint="default" w:ascii="仿宋" w:hAnsi="仿宋" w:eastAsia="仿宋" w:cs="仿宋"/>
                <w:color w:val="auto"/>
                <w:sz w:val="21"/>
                <w:szCs w:val="21"/>
                <w:lang w:val="en-US" w:eastAsia="zh-CN"/>
              </w:rPr>
              <w:t>配备水暖工程、电气工程、房屋建筑专业监理工程师各1名，且均具备相关专业资格证书，同时拥有3年以上相关工作经验，得10分；每缺1人或资质不符扣3分，扣完为止。</w:t>
            </w:r>
          </w:p>
          <w:p w14:paraId="5C9BBCAC">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sz w:val="21"/>
                <w:szCs w:val="21"/>
                <w:lang w:val="en-US" w:eastAsia="zh-CN"/>
              </w:rPr>
            </w:pPr>
            <w:r>
              <w:rPr>
                <w:rFonts w:hint="default" w:ascii="仿宋" w:hAnsi="仿宋" w:eastAsia="仿宋" w:cs="仿宋"/>
                <w:color w:val="auto"/>
                <w:sz w:val="21"/>
                <w:szCs w:val="21"/>
                <w:lang w:val="en-US" w:eastAsia="zh-CN"/>
              </w:rPr>
              <w:t>（需提供相关证书等证明文件及人员近3个月社保缴纳证明）</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2647C43">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p>
        </w:tc>
      </w:tr>
      <w:tr w14:paraId="1D1B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92" w:type="dxa"/>
            <w:tcBorders>
              <w:top w:val="single" w:color="auto" w:sz="4" w:space="0"/>
              <w:left w:val="single" w:color="000000" w:sz="6" w:space="0"/>
              <w:bottom w:val="single" w:color="000000" w:sz="6" w:space="0"/>
              <w:right w:val="single" w:color="000000" w:sz="6" w:space="0"/>
            </w:tcBorders>
            <w:noWrap w:val="0"/>
            <w:vAlign w:val="center"/>
          </w:tcPr>
          <w:p w14:paraId="58139033">
            <w:pPr>
              <w:keepNext w:val="0"/>
              <w:keepLines w:val="0"/>
              <w:pageBreakBefore w:val="0"/>
              <w:kinsoku/>
              <w:overflowPunct/>
              <w:topLinePunct w:val="0"/>
              <w:autoSpaceDE/>
              <w:autoSpaceDN/>
              <w:bidi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66" w:type="dxa"/>
            <w:tcBorders>
              <w:top w:val="single" w:color="auto" w:sz="4" w:space="0"/>
              <w:left w:val="nil"/>
              <w:bottom w:val="single" w:color="000000" w:sz="6" w:space="0"/>
              <w:right w:val="single" w:color="000000" w:sz="6" w:space="0"/>
            </w:tcBorders>
            <w:noWrap w:val="0"/>
            <w:vAlign w:val="center"/>
          </w:tcPr>
          <w:p w14:paraId="6BFB7F2E">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服务方案</w:t>
            </w:r>
          </w:p>
        </w:tc>
        <w:tc>
          <w:tcPr>
            <w:tcW w:w="792" w:type="dxa"/>
            <w:tcBorders>
              <w:top w:val="single" w:color="auto" w:sz="4" w:space="0"/>
              <w:left w:val="nil"/>
              <w:bottom w:val="single" w:color="000000" w:sz="6" w:space="0"/>
              <w:right w:val="single" w:color="000000" w:sz="6" w:space="0"/>
            </w:tcBorders>
            <w:noWrap w:val="0"/>
            <w:vAlign w:val="center"/>
          </w:tcPr>
          <w:p w14:paraId="64161FDD">
            <w:pPr>
              <w:keepNext w:val="0"/>
              <w:keepLines w:val="0"/>
              <w:pageBreakBefore w:val="0"/>
              <w:kinsoku/>
              <w:overflowPunct/>
              <w:topLinePunct w:val="0"/>
              <w:autoSpaceDE/>
              <w:autoSpaceDN/>
              <w:bidi w:val="0"/>
              <w:snapToGrid w:val="0"/>
              <w:spacing w:line="240" w:lineRule="auto"/>
              <w:jc w:val="righ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6740" w:type="dxa"/>
            <w:tcBorders>
              <w:top w:val="single" w:color="auto" w:sz="4" w:space="0"/>
              <w:left w:val="nil"/>
              <w:bottom w:val="single" w:color="000000" w:sz="6" w:space="0"/>
              <w:right w:val="single" w:color="000000" w:sz="6" w:space="0"/>
            </w:tcBorders>
            <w:noWrap w:val="0"/>
            <w:vAlign w:val="center"/>
          </w:tcPr>
          <w:p w14:paraId="3A512F70">
            <w:pPr>
              <w:keepNext w:val="0"/>
              <w:keepLines w:val="0"/>
              <w:pageBreakBefore w:val="0"/>
              <w:kinsoku/>
              <w:overflowPunct/>
              <w:topLinePunct w:val="0"/>
              <w:autoSpaceDE/>
              <w:autoSpaceDN/>
              <w:bidi w:val="0"/>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服务承诺条款(包括收费承诺、遵章守法承诺、对采购人的服务承诺、对投标人的服务承诺等)满分10分，无相关承诺不得分。2、根据方案的可行性、完整性、规范性评分，满分5分。3、根据具体项目，按相关文件规定应提供的服务范围外，额外免费提供给招标人的服务进行承诺和阐述，酌情打分，满分5分。</w:t>
            </w:r>
          </w:p>
        </w:tc>
        <w:tc>
          <w:tcPr>
            <w:tcW w:w="792" w:type="dxa"/>
            <w:tcBorders>
              <w:top w:val="single" w:color="auto" w:sz="4" w:space="0"/>
              <w:left w:val="nil"/>
              <w:bottom w:val="single" w:color="000000" w:sz="6" w:space="0"/>
              <w:right w:val="single" w:color="000000" w:sz="6" w:space="0"/>
            </w:tcBorders>
            <w:noWrap w:val="0"/>
            <w:vAlign w:val="center"/>
          </w:tcPr>
          <w:p w14:paraId="481EF9BE">
            <w:pPr>
              <w:keepNext w:val="0"/>
              <w:keepLines w:val="0"/>
              <w:pageBreakBefore w:val="0"/>
              <w:kinsoku/>
              <w:overflowPunct/>
              <w:topLinePunct w:val="0"/>
              <w:autoSpaceDE/>
              <w:autoSpaceDN/>
              <w:bidi w:val="0"/>
              <w:snapToGrid w:val="0"/>
              <w:spacing w:line="240" w:lineRule="auto"/>
              <w:jc w:val="center"/>
              <w:textAlignment w:val="auto"/>
              <w:rPr>
                <w:rFonts w:hint="eastAsia" w:ascii="仿宋" w:hAnsi="仿宋" w:eastAsia="仿宋" w:cs="仿宋"/>
                <w:sz w:val="21"/>
                <w:szCs w:val="21"/>
                <w:lang w:val="en-US" w:eastAsia="zh-CN"/>
              </w:rPr>
            </w:pPr>
          </w:p>
        </w:tc>
      </w:tr>
    </w:tbl>
    <w:p w14:paraId="2FACDCD9">
      <w:pPr>
        <w:keepNext w:val="0"/>
        <w:keepLines w:val="0"/>
        <w:pageBreakBefore w:val="0"/>
        <w:kinsoku/>
        <w:overflowPunct/>
        <w:topLinePunct w:val="0"/>
        <w:autoSpaceDE/>
        <w:autoSpaceDN/>
        <w:bidi w:val="0"/>
        <w:spacing w:line="240" w:lineRule="auto"/>
        <w:jc w:val="both"/>
        <w:textAlignment w:val="auto"/>
        <w:rPr>
          <w:rFonts w:hint="default" w:ascii="仿宋" w:hAnsi="仿宋" w:eastAsia="仿宋" w:cs="仿宋"/>
          <w:sz w:val="32"/>
          <w:szCs w:val="32"/>
          <w:lang w:val="en-US" w:eastAsia="zh-CN"/>
        </w:rPr>
        <w:sectPr>
          <w:pgSz w:w="11906" w:h="16838"/>
          <w:pgMar w:top="1440" w:right="960" w:bottom="1440" w:left="1380" w:header="851" w:footer="992" w:gutter="0"/>
          <w:cols w:space="720" w:num="1"/>
          <w:docGrid w:type="lines" w:linePitch="312" w:charSpace="0"/>
        </w:sectPr>
      </w:pPr>
      <w:r>
        <w:rPr>
          <w:rFonts w:hint="eastAsia" w:ascii="仿宋" w:hAnsi="仿宋" w:eastAsia="仿宋" w:cs="仿宋"/>
          <w:sz w:val="21"/>
          <w:szCs w:val="21"/>
          <w:lang w:val="en-US" w:eastAsia="zh-CN"/>
        </w:rPr>
        <w:t>                                                           考核人/</w:t>
      </w:r>
    </w:p>
    <w:p w14:paraId="5C4D49AD"/>
    <w:p w14:paraId="7FAC89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F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2025-10-20T06:20:48Z</dcterms:created>
  <dc:creator>ASUS</dc:creator>
  <cp:lastModifiedBy>王月明</cp:lastModifiedBy>
  <dcterms:modified xsi:type="dcterms:W3CDTF">2025-10-20T06:22:09Z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eyJoZGlkIjoiYmRkNzBiMzZkMmE5N2U1NTRlNDZhZDQzMmM0ZDI0ZjkiLCJ1c2VySWQiOiIxNDc3MTE0OTY2In0=</vt:lpwstr>
  </property>
  <property fmtid="{D5CDD505-2E9C-101B-9397-08002B2CF9AE}" pid="4" name="ICV">
    <vt:lpwstr>5D33D162C3734C8F9675F0B6AE2C9D8B_12</vt:lpwstr>
  </property>
</Properties>
</file>