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hAnsi="宋体"/>
          <w:b/>
          <w:sz w:val="52"/>
          <w:szCs w:val="52"/>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hint="eastAsia" w:ascii="宋体" w:hAnsi="宋体"/>
          <w:b/>
          <w:sz w:val="36"/>
          <w:szCs w:val="36"/>
        </w:rPr>
        <w:t>第五部分 附件</w:t>
      </w:r>
    </w:p>
    <w:p>
      <w:pPr>
        <w:spacing w:line="540" w:lineRule="exact"/>
        <w:jc w:val="center"/>
        <w:rPr>
          <w:rFonts w:ascii="宋体" w:hAnsi="宋体"/>
          <w:b/>
          <w:sz w:val="52"/>
          <w:szCs w:val="52"/>
        </w:rPr>
        <w:sectPr>
          <w:footerReference r:id="rId3" w:type="default"/>
          <w:pgSz w:w="16838" w:h="11906" w:orient="landscape"/>
          <w:pgMar w:top="567" w:right="567" w:bottom="567" w:left="567" w:header="851" w:footer="992" w:gutter="0"/>
          <w:cols w:space="720" w:num="1"/>
          <w:docGrid w:type="lines" w:linePitch="312" w:charSpace="0"/>
        </w:sectPr>
      </w:pPr>
    </w:p>
    <w:tbl>
      <w:tblPr>
        <w:tblStyle w:val="7"/>
        <w:tblW w:w="14928" w:type="dxa"/>
        <w:jc w:val="center"/>
        <w:tblLayout w:type="fixed"/>
        <w:tblCellMar>
          <w:top w:w="0" w:type="dxa"/>
          <w:left w:w="20" w:type="dxa"/>
          <w:bottom w:w="0" w:type="dxa"/>
          <w:right w:w="20" w:type="dxa"/>
        </w:tblCellMar>
      </w:tblPr>
      <w:tblGrid>
        <w:gridCol w:w="1156"/>
        <w:gridCol w:w="636"/>
        <w:gridCol w:w="636"/>
        <w:gridCol w:w="1382"/>
        <w:gridCol w:w="492"/>
        <w:gridCol w:w="600"/>
        <w:gridCol w:w="600"/>
        <w:gridCol w:w="1788"/>
        <w:gridCol w:w="612"/>
        <w:gridCol w:w="744"/>
        <w:gridCol w:w="636"/>
        <w:gridCol w:w="852"/>
        <w:gridCol w:w="852"/>
        <w:gridCol w:w="972"/>
        <w:gridCol w:w="852"/>
        <w:gridCol w:w="694"/>
        <w:gridCol w:w="631"/>
        <w:gridCol w:w="793"/>
      </w:tblGrid>
      <w:tr>
        <w:tblPrEx>
          <w:tblCellMar>
            <w:top w:w="0" w:type="dxa"/>
            <w:left w:w="20" w:type="dxa"/>
            <w:bottom w:w="0" w:type="dxa"/>
            <w:right w:w="20" w:type="dxa"/>
          </w:tblCellMar>
        </w:tblPrEx>
        <w:trPr>
          <w:trHeight w:val="405" w:hRule="exact"/>
          <w:jc w:val="center"/>
        </w:trPr>
        <w:tc>
          <w:tcPr>
            <w:tcW w:w="14928"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Calibri" w:hAnsi="Calibri" w:eastAsia="Calibri" w:cs="Calibri"/>
                <w:b/>
                <w:color w:val="000000"/>
                <w:sz w:val="31"/>
              </w:rPr>
              <w:t>部门（单位）整体绩效自评表</w:t>
            </w:r>
          </w:p>
        </w:tc>
      </w:tr>
      <w:tr>
        <w:tblPrEx>
          <w:tblCellMar>
            <w:top w:w="0" w:type="dxa"/>
            <w:left w:w="20" w:type="dxa"/>
            <w:bottom w:w="0" w:type="dxa"/>
            <w:right w:w="20" w:type="dxa"/>
          </w:tblCellMar>
        </w:tblPrEx>
        <w:trPr>
          <w:trHeight w:val="376" w:hRule="exact"/>
          <w:jc w:val="center"/>
        </w:trPr>
        <w:tc>
          <w:tcPr>
            <w:tcW w:w="14928"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23"/>
              </w:rPr>
              <w:t>2024年度</w:t>
            </w:r>
          </w:p>
        </w:tc>
      </w:tr>
      <w:tr>
        <w:tblPrEx>
          <w:tblCellMar>
            <w:top w:w="0" w:type="dxa"/>
            <w:left w:w="20" w:type="dxa"/>
            <w:bottom w:w="0" w:type="dxa"/>
            <w:right w:w="20" w:type="dxa"/>
          </w:tblCellMar>
        </w:tblPrEx>
        <w:trPr>
          <w:trHeight w:val="275" w:hRule="exact"/>
          <w:jc w:val="center"/>
        </w:trPr>
        <w:tc>
          <w:tcPr>
            <w:tcW w:w="38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部门（单位）名称</w:t>
            </w:r>
          </w:p>
        </w:tc>
        <w:tc>
          <w:tcPr>
            <w:tcW w:w="11118"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060002营口市民政事务中心-210800000</w:t>
            </w:r>
          </w:p>
        </w:tc>
      </w:tr>
      <w:tr>
        <w:tblPrEx>
          <w:tblCellMar>
            <w:top w:w="0" w:type="dxa"/>
            <w:left w:w="20" w:type="dxa"/>
            <w:bottom w:w="0" w:type="dxa"/>
            <w:right w:w="20" w:type="dxa"/>
          </w:tblCellMar>
        </w:tblPrEx>
        <w:trPr>
          <w:trHeight w:val="290" w:hRule="exact"/>
          <w:jc w:val="center"/>
        </w:trPr>
        <w:tc>
          <w:tcPr>
            <w:tcW w:w="38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部门年初预算收入金额</w:t>
            </w:r>
          </w:p>
        </w:tc>
        <w:tc>
          <w:tcPr>
            <w:tcW w:w="11118"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3386.35</w:t>
            </w:r>
          </w:p>
        </w:tc>
      </w:tr>
      <w:tr>
        <w:tblPrEx>
          <w:tblCellMar>
            <w:top w:w="0" w:type="dxa"/>
            <w:left w:w="20" w:type="dxa"/>
            <w:bottom w:w="0" w:type="dxa"/>
            <w:right w:w="20" w:type="dxa"/>
          </w:tblCellMar>
        </w:tblPrEx>
        <w:trPr>
          <w:trHeight w:val="290" w:hRule="exact"/>
          <w:jc w:val="center"/>
        </w:trPr>
        <w:tc>
          <w:tcPr>
            <w:tcW w:w="38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部门年初预算支出金额</w:t>
            </w:r>
          </w:p>
        </w:tc>
        <w:tc>
          <w:tcPr>
            <w:tcW w:w="11118"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3386.35</w:t>
            </w:r>
          </w:p>
        </w:tc>
      </w:tr>
      <w:tr>
        <w:tblPrEx>
          <w:tblCellMar>
            <w:top w:w="0" w:type="dxa"/>
            <w:left w:w="20" w:type="dxa"/>
            <w:bottom w:w="0" w:type="dxa"/>
            <w:right w:w="20" w:type="dxa"/>
          </w:tblCellMar>
        </w:tblPrEx>
        <w:trPr>
          <w:trHeight w:val="521" w:hRule="exact"/>
          <w:jc w:val="center"/>
        </w:trPr>
        <w:tc>
          <w:tcPr>
            <w:tcW w:w="11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年度主要</w:t>
            </w:r>
          </w:p>
          <w:p>
            <w:pPr>
              <w:snapToGrid w:val="0"/>
              <w:jc w:val="center"/>
            </w:pPr>
            <w:r>
              <w:rPr>
                <w:rFonts w:ascii="宋体" w:hAnsi="宋体" w:cs="宋体"/>
                <w:b/>
                <w:color w:val="000000"/>
                <w:sz w:val="19"/>
              </w:rPr>
              <w:t>任务</w:t>
            </w: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对应项目</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项目下达金额</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项目执行金额</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项目执行率</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r>
      <w:tr>
        <w:tblPrEx>
          <w:tblCellMar>
            <w:top w:w="0" w:type="dxa"/>
            <w:left w:w="20" w:type="dxa"/>
            <w:bottom w:w="0" w:type="dxa"/>
            <w:right w:w="20" w:type="dxa"/>
          </w:tblCellMar>
        </w:tblPrEx>
        <w:trPr>
          <w:trHeight w:val="397" w:hRule="atLeast"/>
          <w:jc w:val="center"/>
        </w:trPr>
        <w:tc>
          <w:tcPr>
            <w:tcW w:w="11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年度主要任务</w:t>
            </w: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基本支出人员经费（刚性）</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185.14</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185.13</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100.00%</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r>
      <w:tr>
        <w:tblPrEx>
          <w:tblCellMar>
            <w:top w:w="0" w:type="dxa"/>
            <w:left w:w="20" w:type="dxa"/>
            <w:bottom w:w="0" w:type="dxa"/>
            <w:right w:w="20" w:type="dxa"/>
          </w:tblCellMar>
        </w:tblPrEx>
        <w:trPr>
          <w:trHeight w:val="39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基本支出公用经费（刚性）</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1.16</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0.34</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30.00%</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1.98</w:t>
            </w:r>
          </w:p>
        </w:tc>
      </w:tr>
      <w:tr>
        <w:tblPrEx>
          <w:tblCellMar>
            <w:top w:w="0" w:type="dxa"/>
            <w:left w:w="20" w:type="dxa"/>
            <w:bottom w:w="0" w:type="dxa"/>
            <w:right w:w="20" w:type="dxa"/>
          </w:tblCellMar>
        </w:tblPrEx>
        <w:trPr>
          <w:trHeight w:val="39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基本支出人员经费（保工资）</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1079.46</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1052.43</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97.49%</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6.43</w:t>
            </w:r>
          </w:p>
        </w:tc>
      </w:tr>
      <w:tr>
        <w:tblPrEx>
          <w:tblCellMar>
            <w:top w:w="0" w:type="dxa"/>
            <w:left w:w="20" w:type="dxa"/>
            <w:bottom w:w="0" w:type="dxa"/>
            <w:right w:w="20" w:type="dxa"/>
          </w:tblCellMar>
        </w:tblPrEx>
        <w:trPr>
          <w:trHeight w:val="39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基本支出公用经费（保运转）</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64.40</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56.11</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87.13%</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5.75</w:t>
            </w:r>
          </w:p>
        </w:tc>
      </w:tr>
      <w:tr>
        <w:tblPrEx>
          <w:tblCellMar>
            <w:top w:w="0" w:type="dxa"/>
            <w:left w:w="20" w:type="dxa"/>
            <w:bottom w:w="0" w:type="dxa"/>
            <w:right w:w="20" w:type="dxa"/>
          </w:tblCellMar>
        </w:tblPrEx>
        <w:trPr>
          <w:trHeight w:val="39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基本支出人员经费（其他）</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0.00%</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97" w:hRule="atLeas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基本支出公用经费（其他）</w:t>
            </w:r>
          </w:p>
        </w:tc>
        <w:tc>
          <w:tcPr>
            <w:tcW w:w="14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8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5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0.00%</w:t>
            </w:r>
          </w:p>
        </w:tc>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7</w:t>
            </w:r>
          </w:p>
        </w:tc>
        <w:tc>
          <w:tcPr>
            <w:tcW w:w="79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71" w:hRule="exact"/>
          <w:jc w:val="center"/>
        </w:trPr>
        <w:tc>
          <w:tcPr>
            <w:tcW w:w="115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w:t>
            </w: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年初总体目标</w:t>
            </w:r>
          </w:p>
        </w:tc>
        <w:tc>
          <w:tcPr>
            <w:tcW w:w="628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全年完成情况</w:t>
            </w:r>
          </w:p>
        </w:tc>
      </w:tr>
      <w:tr>
        <w:tblPrEx>
          <w:tblCellMar>
            <w:top w:w="0" w:type="dxa"/>
            <w:left w:w="20" w:type="dxa"/>
            <w:bottom w:w="0" w:type="dxa"/>
            <w:right w:w="20" w:type="dxa"/>
          </w:tblCellMar>
        </w:tblPrEx>
        <w:trPr>
          <w:trHeight w:val="1008" w:hRule="exact"/>
          <w:jc w:val="center"/>
        </w:trPr>
        <w:tc>
          <w:tcPr>
            <w:tcW w:w="1156"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749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严格执行基本支出预算，按照部门综合预算的原则，合理分配和使用财政资金，确保在职人员工资、离退休费按政策及时足额发放。要确保我单位医疗保险、住房公积金、养老保险等刚性支出按预算足额落实。要加强对各项经费支出的管理，保证我单位正常运转的基本支出需要。</w:t>
            </w:r>
          </w:p>
        </w:tc>
        <w:tc>
          <w:tcPr>
            <w:tcW w:w="628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已完成2024年基本支出。严格执行基本支出预算，按照部门综合预算原则，合理分配和使用财政资金 。</w:t>
            </w:r>
          </w:p>
        </w:tc>
      </w:tr>
      <w:tr>
        <w:tblPrEx>
          <w:tblCellMar>
            <w:top w:w="0" w:type="dxa"/>
            <w:left w:w="20" w:type="dxa"/>
            <w:bottom w:w="0" w:type="dxa"/>
            <w:right w:w="20" w:type="dxa"/>
          </w:tblCellMar>
        </w:tblPrEx>
        <w:trPr>
          <w:trHeight w:val="362" w:hRule="exact"/>
          <w:jc w:val="center"/>
        </w:trPr>
        <w:tc>
          <w:tcPr>
            <w:tcW w:w="115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63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63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382"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4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运算符号</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指标值</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度量单位</w:t>
            </w:r>
          </w:p>
        </w:tc>
        <w:tc>
          <w:tcPr>
            <w:tcW w:w="1788"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全年完成值</w:t>
            </w:r>
          </w:p>
        </w:tc>
        <w:tc>
          <w:tcPr>
            <w:tcW w:w="612"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744"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63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422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偏差原因分析</w:t>
            </w:r>
          </w:p>
        </w:tc>
        <w:tc>
          <w:tcPr>
            <w:tcW w:w="1424" w:type="dxa"/>
            <w:gridSpan w:val="2"/>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782" w:hRule="exact"/>
          <w:jc w:val="center"/>
        </w:trPr>
        <w:tc>
          <w:tcPr>
            <w:tcW w:w="1156"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744"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经费保障原因分析</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制度保障原因分析</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人员保障原因分析</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硬件条件保障原因分析</w:t>
            </w: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其他原因分析</w:t>
            </w:r>
          </w:p>
        </w:tc>
        <w:tc>
          <w:tcPr>
            <w:tcW w:w="1424" w:type="dxa"/>
            <w:gridSpan w:val="2"/>
            <w:tcBorders>
              <w:left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869" w:hRule="exact"/>
          <w:jc w:val="center"/>
        </w:trPr>
        <w:tc>
          <w:tcPr>
            <w:tcW w:w="1156" w:type="dxa"/>
            <w:vMerge w:val="restart"/>
            <w:tcBorders>
              <w:top w:val="single" w:color="auto" w:sz="4" w:space="0"/>
              <w:left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履职效能</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重点工作履行情况</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重点工作办结率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3.5</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63"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履职效能</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整体工作完成情况</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总体工作完成率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63"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工作完成及时率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63"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工作质量达标率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69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基础管理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依法行政能力</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管理规范</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19"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综合管理水平</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管理规范</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59"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预算执行</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预算执行效率</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预算执行率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1.6</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3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预算调整率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1.6</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11"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结转结余变动率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1.8</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79"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管理效率</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预算编制管理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预算绩效目标覆盖率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6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预算监督管理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预决算公开情况</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全部公开</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77"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预算收支管理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预算收入管理规范性</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管理规范</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41"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预算支出管理规范性</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管理规范</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07"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财务管理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内控制度有效性</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制度有效</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63"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资产管理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固定资产利用率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0.8</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83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业务管理</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政府采购管理违法违规行为发生次数</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次</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0.7</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5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运行成本</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成本控制成效</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“三公”经费变动率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63"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在职人员控制率</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29"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社会效应</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社会效益</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公办养老机构床位数</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84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社会公众满意度</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按规定公开，管理规范，制度有效</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785"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主管部门满意度</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主管部门满意度</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满意</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6.8</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774"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可持续性</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体制机制改革</w:t>
            </w: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建立困难群众生活救助工作督导与监督机制</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有效建立</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71" w:hRule="exact"/>
          <w:jc w:val="center"/>
        </w:trPr>
        <w:tc>
          <w:tcPr>
            <w:tcW w:w="11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3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建立内控管理长效机制</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有效建立</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2.5</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304" w:hRule="exact"/>
          <w:jc w:val="center"/>
        </w:trPr>
        <w:tc>
          <w:tcPr>
            <w:tcW w:w="9282"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pPr>
            <w:r>
              <w:rPr>
                <w:rFonts w:ascii="Calibri" w:hAnsi="Calibri" w:eastAsia="Calibri" w:cs="Calibri"/>
                <w:color w:val="000000"/>
              </w:rPr>
              <w:t>总评价得分</w:t>
            </w:r>
          </w:p>
        </w:tc>
        <w:tc>
          <w:tcPr>
            <w:tcW w:w="5646"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pPr>
            <w:r>
              <w:rPr>
                <w:rFonts w:ascii="Calibri" w:hAnsi="Calibri" w:eastAsia="Calibri" w:cs="Calibri"/>
                <w:color w:val="000000"/>
              </w:rPr>
              <w:t>80.76</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儿童福利院用工人员工资及保险</w:t>
            </w:r>
          </w:p>
        </w:tc>
      </w:tr>
      <w:tr>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63</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63</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r>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rPr>
          <w:trHeight w:val="103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rPr>
                <w:rFonts w:hint="eastAsia" w:eastAsia="宋体"/>
                <w:lang w:eastAsia="zh-CN"/>
              </w:rPr>
            </w:pPr>
            <w:r>
              <w:rPr>
                <w:rFonts w:ascii="宋体" w:hAnsi="宋体" w:cs="宋体"/>
                <w:color w:val="000000"/>
                <w:sz w:val="19"/>
              </w:rPr>
              <w:t>营口民政事务中心（福利院）是我国改革开放40多年以来，全中国、最早的民间慈善机构，全心全</w:t>
            </w:r>
            <w:r>
              <w:rPr>
                <w:rFonts w:hint="eastAsia" w:ascii="宋体" w:hAnsi="宋体" w:cs="宋体"/>
                <w:color w:val="000000"/>
                <w:sz w:val="19"/>
                <w:lang w:val="en-US" w:eastAsia="zh-CN"/>
              </w:rPr>
              <w:t>意</w:t>
            </w:r>
            <w:r>
              <w:rPr>
                <w:rFonts w:ascii="宋体" w:hAnsi="宋体" w:cs="宋体"/>
                <w:color w:val="000000"/>
                <w:sz w:val="19"/>
              </w:rPr>
              <w:t>为人民服务，我院共收孤残儿童44人，为了更好照料孤残儿童使他们感受到家一般的温暖，需要一些工作人员</w:t>
            </w:r>
            <w:r>
              <w:rPr>
                <w:rFonts w:hint="eastAsia" w:ascii="宋体" w:hAnsi="宋体" w:cs="宋体"/>
                <w:color w:val="000000"/>
                <w:sz w:val="19"/>
                <w:lang w:eastAsia="zh-CN"/>
              </w:rPr>
              <w:t>。</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rPr>
                <w:rFonts w:hint="eastAsia" w:eastAsia="宋体"/>
                <w:lang w:eastAsia="zh-CN"/>
              </w:rPr>
            </w:pPr>
            <w:r>
              <w:rPr>
                <w:rFonts w:ascii="宋体" w:hAnsi="宋体" w:cs="宋体"/>
                <w:color w:val="000000"/>
                <w:sz w:val="19"/>
              </w:rPr>
              <w:t>营口民政事务中心（福利院）是我国改革开放40多年以来，全中国、最早的民间慈善机构，全心全</w:t>
            </w:r>
            <w:r>
              <w:rPr>
                <w:rFonts w:hint="eastAsia" w:ascii="宋体" w:hAnsi="宋体" w:cs="宋体"/>
                <w:color w:val="000000"/>
                <w:sz w:val="19"/>
                <w:lang w:val="en-US" w:eastAsia="zh-CN"/>
              </w:rPr>
              <w:t>意</w:t>
            </w:r>
            <w:r>
              <w:rPr>
                <w:rFonts w:ascii="宋体" w:hAnsi="宋体" w:cs="宋体"/>
                <w:color w:val="000000"/>
                <w:sz w:val="19"/>
              </w:rPr>
              <w:t>为人民服务，我院共收孤残儿童44人，为了更好照料孤残儿童使他们感受到家一般的温暖，需要一些工作人员</w:t>
            </w:r>
            <w:r>
              <w:rPr>
                <w:rFonts w:hint="eastAsia" w:ascii="宋体" w:hAnsi="宋体" w:cs="宋体"/>
                <w:color w:val="000000"/>
                <w:sz w:val="19"/>
                <w:lang w:eastAsia="zh-CN"/>
              </w:rPr>
              <w:t>。</w:t>
            </w:r>
          </w:p>
        </w:tc>
      </w:tr>
      <w:tr>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养老设施床位数量</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450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450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养老护理人员培训人数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63</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服务被投诉率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89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符合《养老机构基本服务质量规范》的养老机构比例</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服务响应及时率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提供管护岗位带动就业人数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63</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89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提升基本公共服务水平</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岗位技能考核合格率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服务群众满意度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25"/>
        <w:gridCol w:w="720"/>
        <w:gridCol w:w="1788"/>
        <w:gridCol w:w="1752"/>
        <w:gridCol w:w="516"/>
        <w:gridCol w:w="480"/>
        <w:gridCol w:w="480"/>
        <w:gridCol w:w="1212"/>
        <w:gridCol w:w="576"/>
        <w:gridCol w:w="516"/>
        <w:gridCol w:w="516"/>
        <w:gridCol w:w="540"/>
        <w:gridCol w:w="564"/>
        <w:gridCol w:w="528"/>
        <w:gridCol w:w="564"/>
        <w:gridCol w:w="492"/>
        <w:gridCol w:w="1536"/>
        <w:gridCol w:w="1532"/>
      </w:tblGrid>
      <w:tr>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儿童寻亲公告费</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27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w:t>
            </w:r>
          </w:p>
        </w:tc>
        <w:tc>
          <w:tcPr>
            <w:tcW w:w="22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66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0.1</w:t>
            </w:r>
          </w:p>
        </w:tc>
        <w:tc>
          <w:tcPr>
            <w:tcW w:w="25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5.0%</w:t>
            </w:r>
          </w:p>
        </w:tc>
      </w:tr>
      <w:tr>
        <w:tblPrEx>
          <w:tblCellMar>
            <w:top w:w="0" w:type="dxa"/>
            <w:left w:w="20" w:type="dxa"/>
            <w:bottom w:w="0" w:type="dxa"/>
            <w:right w:w="20" w:type="dxa"/>
          </w:tblCellMar>
        </w:tblPrEx>
        <w:trPr>
          <w:trHeight w:val="264" w:hRule="exact"/>
          <w:jc w:val="center"/>
        </w:trPr>
        <w:tc>
          <w:tcPr>
            <w:tcW w:w="5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04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627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946"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04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依据儿童福利机构管理办法中，服务对象中指出对无法查明父母或者其他监护人的儿童、父母死亡或者宣告失踪且没有依法具有监护资格的儿童、父母没有监护能力且没有其他依法具有监护资格的儿童，捡拾报案证明、儿童福利机构发布的寻亲公告，儿童福利机构应当接收需要集中供养的未满16周岁的特困人员。</w:t>
            </w:r>
          </w:p>
        </w:tc>
        <w:tc>
          <w:tcPr>
            <w:tcW w:w="627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就产生1名孤儿寻亲费用，因此就发生1000元费用，余下19000元上交财政收回。</w:t>
            </w:r>
          </w:p>
        </w:tc>
      </w:tr>
      <w:tr>
        <w:tblPrEx>
          <w:tblCellMar>
            <w:top w:w="0" w:type="dxa"/>
            <w:left w:w="20" w:type="dxa"/>
            <w:bottom w:w="0" w:type="dxa"/>
            <w:right w:w="20" w:type="dxa"/>
          </w:tblCellMar>
        </w:tblPrEx>
        <w:trPr>
          <w:trHeight w:val="264" w:hRule="exact"/>
          <w:jc w:val="center"/>
        </w:trPr>
        <w:tc>
          <w:tcPr>
            <w:tcW w:w="5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17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7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14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422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5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5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1259"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17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孤儿纳入保障范围率</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其他:就产生1名孤儿寻亲费用，因此就发生1000元费用，余下19000元上交财政收回。</w:t>
            </w:r>
          </w:p>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其他:就产生1名孤儿寻亲费用，因此就发生1000元费用，余下19000元上交财政收回。</w:t>
            </w:r>
          </w:p>
          <w:p>
            <w:pPr>
              <w:snapToGrid w:val="0"/>
              <w:jc w:val="left"/>
            </w:pPr>
          </w:p>
        </w:tc>
      </w:tr>
      <w:tr>
        <w:tblPrEx>
          <w:tblCellMar>
            <w:top w:w="0" w:type="dxa"/>
            <w:left w:w="20" w:type="dxa"/>
            <w:bottom w:w="0" w:type="dxa"/>
            <w:right w:w="20" w:type="dxa"/>
          </w:tblCellMar>
        </w:tblPrEx>
        <w:trPr>
          <w:trHeight w:val="1195"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孤儿年满18周岁就读大学等享受补助比例</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其他:就产生1名孤儿寻亲费用，因此就发生1000元费用，余下19000元上交财政收回。</w:t>
            </w:r>
          </w:p>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其他:就产生1名孤儿寻亲费用，因此就发生1000元费用，余下19000元上交财政收回。</w:t>
            </w:r>
          </w:p>
          <w:p>
            <w:pPr>
              <w:snapToGrid w:val="0"/>
              <w:jc w:val="left"/>
            </w:pPr>
          </w:p>
        </w:tc>
      </w:tr>
      <w:tr>
        <w:tblPrEx>
          <w:tblCellMar>
            <w:top w:w="0" w:type="dxa"/>
            <w:left w:w="20" w:type="dxa"/>
            <w:bottom w:w="0" w:type="dxa"/>
            <w:right w:w="20" w:type="dxa"/>
          </w:tblCellMar>
        </w:tblPrEx>
        <w:trPr>
          <w:trHeight w:val="292"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服务被投诉率</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66"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符合《养老机构基本服务质量规范》的养老机构比例</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309"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服务响应及时率</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96"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提供管护岗位带动就业人数</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14</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14</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66"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提升基本公共服务水平</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341"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岗位技能考核合格率</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受益群众满意度</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92" w:hRule="exact"/>
          <w:jc w:val="center"/>
        </w:trPr>
        <w:tc>
          <w:tcPr>
            <w:tcW w:w="5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7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27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2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0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0.5</w:t>
            </w:r>
          </w:p>
        </w:tc>
        <w:tc>
          <w:tcPr>
            <w:tcW w:w="11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31.5</w:t>
            </w:r>
          </w:p>
        </w:tc>
        <w:tc>
          <w:tcPr>
            <w:tcW w:w="25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高校优才补助</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0.9</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0.9</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82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本科毕业生每人每月1000元的生活补贴、租房补贴每人每月500元，补贴期限为3年。朱芮漩2024年7-12月生活补贴6000元，租房补贴3000元，共9000元。</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已完成</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事业单位公开招聘考试完成率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领取补助人数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专业对口就业率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资金使用合规率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33"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补助资金下达及时率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69"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资金精准使用情况</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89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政策持续性</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5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补助对象满意度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核对系统维护费</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1.12</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1.12</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99.69%</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133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
              </w:numPr>
              <w:snapToGrid w:val="0"/>
              <w:jc w:val="left"/>
              <w:rPr>
                <w:rFonts w:ascii="宋体" w:hAnsi="宋体" w:cs="宋体"/>
                <w:color w:val="000000"/>
                <w:sz w:val="19"/>
              </w:rPr>
            </w:pPr>
            <w:r>
              <w:rPr>
                <w:rFonts w:ascii="宋体" w:hAnsi="宋体" w:cs="宋体"/>
                <w:color w:val="000000"/>
                <w:sz w:val="19"/>
              </w:rPr>
              <w:t xml:space="preserve">专线：根据《辽宁省居民家庭经济状况核对办法》（辽政办发【2014】42）号要求，核对信息平台运行安全，提高核对效率。                                               </w:t>
            </w:r>
          </w:p>
          <w:p>
            <w:pPr>
              <w:numPr>
                <w:ilvl w:val="0"/>
                <w:numId w:val="1"/>
              </w:numPr>
              <w:snapToGrid w:val="0"/>
              <w:jc w:val="left"/>
            </w:pPr>
            <w:r>
              <w:rPr>
                <w:rFonts w:ascii="宋体" w:hAnsi="宋体" w:cs="宋体"/>
                <w:color w:val="000000"/>
                <w:sz w:val="19"/>
              </w:rPr>
              <w:t>电子签章:根据《关于进一步加强和改进全省居民家庭经济状况核对工作的通知》（辽民助函【2012】119号）要求，全面这产现核对数据电子化管理。</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租用移动数据专线2条，用于对接信息中心、公安部门相关数据，以核对居民家庭经济状况。采取线上督导县区开展社会救助和社会福利对象家庭经济状况的调查。</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调研任务完成率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完工项目个数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2</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正常运转率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验收合格率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检查工作完成及时性</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12</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月</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97"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提高经费使用率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01"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受益群众增长率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85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受惠群众满意度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9.97</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99.97</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1057"/>
        <w:gridCol w:w="1608"/>
        <w:gridCol w:w="744"/>
        <w:gridCol w:w="807"/>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816"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集中供养“三无人员”养员经费</w:t>
            </w:r>
          </w:p>
        </w:tc>
      </w:tr>
      <w:tr>
        <w:tblPrEx>
          <w:tblCellMar>
            <w:top w:w="0" w:type="dxa"/>
            <w:left w:w="20" w:type="dxa"/>
            <w:bottom w:w="0" w:type="dxa"/>
            <w:right w:w="20" w:type="dxa"/>
          </w:tblCellMar>
        </w:tblPrEx>
        <w:trPr>
          <w:trHeight w:val="264" w:hRule="exac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816"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816"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110.1</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110.1</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213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办好公办保障性养老机构。充分发挥公办养老机构托底作用，重点为“三无”老人提供无偿的供养、护理服务。2023年养老院“三无”人员生活费：1.丧葬费0.5万元（800元/人×6人/年）；2.零用钱1.40万元（20元/月×58人×12个月）；3.被服品.日常用品及专用材料9.05万元（130元/人×58×12个月）；4.医疗费18.45万元（265元/月×58×12个月）；5.取暖费48.3万元（19318.19平方米×25元/平）；6.水电费32.4万元（27000/月×12个月）。共计110.10万元。</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办好公办保障性养老机构。充分发挥公办养老机构托底作用，重点为“三无”老人提供无偿的供养、护理服务。2023年养老院“三无”人员生活费：1.丧葬费0.5万元（800元/人×6人/年）；2.零用钱1.40万元（20元/月×58人×12个月）；3.被服品.日常用品及专用材料9.05万元（130元/人×58×12个月）；4.医疗费18.45万元（265元/月×58×12个月）；5.取暖费48.3万元（19318.19平方米×25元/平）；6.水电费32.4万元（27000/月×12个月）。共计110.10万元。</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10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6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1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6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33"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10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特困人员供养机构护理人数</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61</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61</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73"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孤儿纳入保障范围率</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9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符合医疗质量控制考核细则通过率</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01"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特困人员准确率</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09"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特困供养金按时发放率</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89"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特困供养机构补助标准</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111</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万元</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111</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4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拉动社会资本投入社会办养老机构资金</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111</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万元</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111</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城市特困人员救助标准提升率</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8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1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特困人员供养机构满意度</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救助补助经费</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100.0%</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102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 xml:space="preserve">保证站内正常运转，保障流浪乞讨人员权益。 </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我站冬季取暖工作已完成，缴纳水、电、煤气等费用保证站内正常运转，聘请劳务派遣人员为救助人员提供服务，聘请物业公司维持了站内卫生、安全等工作。灭火器换粉工作完成。</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孤儿纳入保障范围率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完工项目个数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正常运转率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经费支出规范率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3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流浪乞讨人员救助要求当天登记救助率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89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流浪乞讨人员救助执行符合当地支出标准率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设备利用率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21"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困难群众生活水平提升率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7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补助对象满意度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3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内设机构运转经费</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9.48</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94.84%</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60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完成全年度中心特定类项目资金中的内容工作。</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已完成绩效工作，中心办公室及食堂日常维修，中心外网网费。食堂厨房设备采购及餐具更换、宣传品制作等。</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80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完工项目个数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5</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项目完工率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计划工作完成率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项目验收合格率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项目完工及时率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09"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设备利用率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7</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7</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提高经费使用率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21"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生态效益指标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空调能耗达标率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69"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政策持续实施期</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年</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3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职工满意度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8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受益群众满意度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9.48</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99.48</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09"/>
        <w:gridCol w:w="900"/>
        <w:gridCol w:w="1224"/>
        <w:gridCol w:w="2352"/>
        <w:gridCol w:w="564"/>
        <w:gridCol w:w="648"/>
        <w:gridCol w:w="624"/>
        <w:gridCol w:w="1776"/>
        <w:gridCol w:w="888"/>
        <w:gridCol w:w="708"/>
        <w:gridCol w:w="624"/>
        <w:gridCol w:w="516"/>
        <w:gridCol w:w="540"/>
        <w:gridCol w:w="492"/>
        <w:gridCol w:w="612"/>
        <w:gridCol w:w="492"/>
        <w:gridCol w:w="444"/>
        <w:gridCol w:w="524"/>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五台山提供骨灰安葬服务收入</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80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5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32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8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5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0.0%</w:t>
            </w:r>
          </w:p>
        </w:tc>
      </w:tr>
      <w:tr>
        <w:tblPrEx>
          <w:tblCellMar>
            <w:top w:w="0" w:type="dxa"/>
            <w:left w:w="20" w:type="dxa"/>
            <w:bottom w:w="0" w:type="dxa"/>
            <w:right w:w="20" w:type="dxa"/>
          </w:tblCellMar>
        </w:tblPrEx>
        <w:trPr>
          <w:trHeight w:val="264" w:hRule="exact"/>
          <w:jc w:val="center"/>
        </w:trPr>
        <w:tc>
          <w:tcPr>
            <w:tcW w:w="9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9684"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424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1824"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84"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公墓建设绩效目标的制定对于保障城市墓地资源的合理利用，提高公墓服务质量，满足客户需求具有重要意义。一、公墓建设规划与设计公墓建设规划与设计是公墓建设的基础，决定了公墓的功能、布局和风貌，应注重合理规划布局、环境生态保护、文化传承与创新等方面。二、公墓服务质量公墓服务质量是评价建设绩效的重要指标，关乎客户对公墓的满意度和信任度，应考虑安全与便捷、敬业与诚信、设施与环境等方面。三、公墓管理公墓的管理是公墓建设绩效的关键环节，直接影响公墓的运营效益和服务水平，应注重资源利用效率、创新与发展等方面。公墓建设绩效目标的实施，不仅关乎城市规划和管理的水平，更关系到客户的需求和社会的和谐发展，只有通过科学的制定和有效的执行，才能提升公墓建设的质量和效益，为客户提供更好的公墓服务。</w:t>
            </w:r>
          </w:p>
        </w:tc>
        <w:tc>
          <w:tcPr>
            <w:tcW w:w="424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五台山公墓提供骨灰安葬服务收入项目年初预算金额124.01万元，项目预算资金性质为事业单位经营收入，按照财政要求，严格资金使用规范，提高资金使用效率，根据年初绩效管理目标，该项目执行达到了绩效指标的93%。</w:t>
            </w:r>
          </w:p>
        </w:tc>
      </w:tr>
      <w:tr>
        <w:tblPrEx>
          <w:tblCellMar>
            <w:top w:w="0" w:type="dxa"/>
            <w:left w:w="20" w:type="dxa"/>
            <w:bottom w:w="0" w:type="dxa"/>
            <w:right w:w="20" w:type="dxa"/>
          </w:tblCellMar>
        </w:tblPrEx>
        <w:trPr>
          <w:trHeight w:val="264" w:hRule="exact"/>
          <w:jc w:val="center"/>
        </w:trPr>
        <w:tc>
          <w:tcPr>
            <w:tcW w:w="9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23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18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09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5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720"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23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5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592"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支持建设公益性节地生态安葬设施数量</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470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470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56"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组织建设项目节地评价项目专家论证次数</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次</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服务被投诉率</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301"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改扩建工程验收合格率</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45"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服务响应及时率</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成本控制率</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77"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提供管护岗位带动就业人数</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15</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15</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7</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7</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10"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提升基本公共服务水平</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10"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生态效益指标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改善农村人居环境</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改善</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54"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可持续影响指标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保障水平</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提升</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16"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项目区村民满意度</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40" w:hRule="exac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235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受益群众满意度</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77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6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6.6</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30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5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32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3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w:t>
            </w:r>
          </w:p>
        </w:tc>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49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31</w:t>
            </w:r>
          </w:p>
        </w:tc>
        <w:tc>
          <w:tcPr>
            <w:tcW w:w="15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640"/>
        <w:gridCol w:w="660"/>
        <w:gridCol w:w="660"/>
        <w:gridCol w:w="612"/>
        <w:gridCol w:w="744"/>
        <w:gridCol w:w="684"/>
        <w:gridCol w:w="732"/>
        <w:gridCol w:w="540"/>
        <w:gridCol w:w="456"/>
        <w:gridCol w:w="516"/>
        <w:gridCol w:w="636"/>
        <w:gridCol w:w="1524"/>
        <w:gridCol w:w="1412"/>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养老院服务区维修工程2024年</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27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210</w:t>
            </w:r>
          </w:p>
        </w:tc>
        <w:tc>
          <w:tcPr>
            <w:tcW w:w="1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315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5.16</w:t>
            </w:r>
          </w:p>
        </w:tc>
        <w:tc>
          <w:tcPr>
            <w:tcW w:w="26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2.46%</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7355"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6500"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13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355"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根据《辽宁省人民政府关于加快发展养老服务业的实施意见》（辽政发【2014】4号）营口市民政事务中心（养老院）服务区2024年申请维修改造工程210万元。用于大力加强养老机构建设，发展环境更加优化，服务质量明显提高。全社会积极应对人口老龄化意识显著增强，支持和参与养老服务发展的氛围更加浓厚，敬老、养老、助老的优良传统得到进一步弘扬。</w:t>
            </w:r>
          </w:p>
        </w:tc>
        <w:tc>
          <w:tcPr>
            <w:tcW w:w="6500"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根据《辽宁省人民政府关于加快发展养老服务业的实施意见》（辽政发【2014】4号）营口市民政事务中心（养老院）服务区2024年申请维修改造工程210万元。用于大力加强养老机构建设，发展环境更加优化，服务质量明显提高。全社会积极应对人口老龄化意识显著增强，支持和参与养老服务发展的氛围更加浓厚，敬老、养老、助老的优良传统得到进一步弘扬。</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194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440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155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维修、租赁计划完成项目数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个</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151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足额交纳率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150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场馆维修合格率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147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建筑质量标准达标率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89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维修改造工程按合同规定时间完成的及时性</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22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维修改造成本</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210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万元</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5.16</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3.3</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222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经济效益指标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日常维修成本节约率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其他:2024年5号文预算财政拨款210万，用于养老院服务区维修工程，剩余资金未通过审批</w:t>
            </w:r>
          </w:p>
          <w:p>
            <w:pPr>
              <w:snapToGrid w:val="0"/>
              <w:jc w:val="left"/>
            </w:pPr>
          </w:p>
        </w:tc>
      </w:tr>
      <w:tr>
        <w:tblPrEx>
          <w:tblCellMar>
            <w:top w:w="0" w:type="dxa"/>
            <w:left w:w="20" w:type="dxa"/>
            <w:bottom w:w="0" w:type="dxa"/>
            <w:right w:w="20" w:type="dxa"/>
          </w:tblCellMar>
        </w:tblPrEx>
        <w:trPr>
          <w:trHeight w:val="1050"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生态效益指标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工程环保达标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可达标准</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全部或基本达成预期指标100%-80%（含）</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受益群众满意度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7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52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27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1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4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0.25</w:t>
            </w:r>
          </w:p>
        </w:tc>
        <w:tc>
          <w:tcPr>
            <w:tcW w:w="12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26.2455021</w:t>
            </w:r>
          </w:p>
        </w:tc>
        <w:tc>
          <w:tcPr>
            <w:tcW w:w="26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59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blPrEx>
          <w:tblCellMar>
            <w:top w:w="0" w:type="dxa"/>
            <w:left w:w="20" w:type="dxa"/>
            <w:bottom w:w="0" w:type="dxa"/>
            <w:right w:w="20" w:type="dxa"/>
          </w:tblCellMar>
        </w:tblPrEx>
        <w:trPr>
          <w:trHeight w:val="779" w:hRule="exact"/>
          <w:jc w:val="center"/>
        </w:trPr>
        <w:tc>
          <w:tcPr>
            <w:tcW w:w="14837" w:type="dxa"/>
            <w:gridSpan w:val="1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30"/>
              </w:rPr>
              <w:t>预算项目(政策)绩效自评表</w:t>
            </w:r>
          </w:p>
          <w:p>
            <w:pPr>
              <w:snapToGrid w:val="0"/>
              <w:jc w:val="center"/>
            </w:pPr>
            <w:r>
              <w:rPr>
                <w:rFonts w:ascii="宋体" w:hAnsi="宋体" w:cs="宋体"/>
                <w:b/>
                <w:color w:val="000000"/>
                <w:sz w:val="30"/>
              </w:rPr>
              <w:t>(2024年度)</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项目(政策)名称</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养老院护工补贴</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主管部门</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营口市民政局-</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实施单位</w:t>
            </w:r>
          </w:p>
        </w:tc>
        <w:tc>
          <w:tcPr>
            <w:tcW w:w="11908"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营口市民政事务中心-</w:t>
            </w: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项目预算金额（万元）</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全年执行数（万元）</w:t>
            </w:r>
          </w:p>
        </w:tc>
        <w:tc>
          <w:tcPr>
            <w:tcW w:w="289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30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执行率</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年度总体目标</w:t>
            </w: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年初设定目标</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全年实际完成情况</w:t>
            </w:r>
          </w:p>
        </w:tc>
      </w:tr>
      <w:tr>
        <w:tblPrEx>
          <w:tblCellMar>
            <w:top w:w="0" w:type="dxa"/>
            <w:left w:w="20" w:type="dxa"/>
            <w:bottom w:w="0" w:type="dxa"/>
            <w:right w:w="20" w:type="dxa"/>
          </w:tblCellMar>
        </w:tblPrEx>
        <w:trPr>
          <w:trHeight w:val="996"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82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现根据《关于加快养老服务业发展若干政策》营政发【2015】14号文件精神，申请对公办养老机构护工工资、保险补助资金30万元。</w:t>
            </w:r>
          </w:p>
        </w:tc>
        <w:tc>
          <w:tcPr>
            <w:tcW w:w="563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现根据《关于加快养老服务业发展若干政策》营政发【2015】14号文件精神，申请对公办养老机构护工工资、保险补助资金30万元。</w:t>
            </w:r>
          </w:p>
        </w:tc>
      </w:tr>
      <w:tr>
        <w:tblPrEx>
          <w:tblCellMar>
            <w:top w:w="0" w:type="dxa"/>
            <w:left w:w="20" w:type="dxa"/>
            <w:bottom w:w="0" w:type="dxa"/>
            <w:right w:w="20" w:type="dxa"/>
          </w:tblCellMar>
        </w:tblPrEx>
        <w:trPr>
          <w:trHeight w:val="264" w:hRule="exact"/>
          <w:jc w:val="center"/>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绩效指标</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一级指标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二级指标</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三级指标</w:t>
            </w:r>
          </w:p>
        </w:tc>
        <w:tc>
          <w:tcPr>
            <w:tcW w:w="24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年度目标值</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全年</w:t>
            </w:r>
          </w:p>
          <w:p>
            <w:pPr>
              <w:snapToGrid w:val="0"/>
              <w:jc w:val="center"/>
            </w:pPr>
            <w:r>
              <w:rPr>
                <w:rFonts w:ascii="宋体" w:hAnsi="宋体" w:cs="宋体"/>
                <w:b/>
                <w:color w:val="000000"/>
                <w:sz w:val="19"/>
              </w:rPr>
              <w:t>完成值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完成程度</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分值</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得分</w:t>
            </w:r>
          </w:p>
        </w:tc>
        <w:tc>
          <w:tcPr>
            <w:tcW w:w="392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未完成原因分析</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改进措施</w:t>
            </w: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4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运算</w:t>
            </w:r>
          </w:p>
          <w:p>
            <w:pPr>
              <w:snapToGrid w:val="0"/>
              <w:jc w:val="center"/>
            </w:pPr>
            <w:r>
              <w:rPr>
                <w:rFonts w:ascii="宋体" w:hAnsi="宋体" w:cs="宋体"/>
                <w:b/>
                <w:color w:val="000000"/>
                <w:sz w:val="19"/>
              </w:rPr>
              <w:t>符号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内容</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度量</w:t>
            </w:r>
          </w:p>
          <w:p>
            <w:pPr>
              <w:snapToGrid w:val="0"/>
              <w:jc w:val="center"/>
            </w:pPr>
            <w:r>
              <w:rPr>
                <w:rFonts w:ascii="宋体" w:hAnsi="宋体" w:cs="宋体"/>
                <w:b/>
                <w:color w:val="000000"/>
                <w:sz w:val="19"/>
              </w:rPr>
              <w:t>单位</w:t>
            </w: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经费保障</w:t>
            </w: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制度保障</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人员保障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硬件条件保障</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其他</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原因说明</w:t>
            </w: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r>
      <w:tr>
        <w:tblPrEx>
          <w:tblCellMar>
            <w:top w:w="0" w:type="dxa"/>
            <w:left w:w="20" w:type="dxa"/>
            <w:bottom w:w="0" w:type="dxa"/>
            <w:right w:w="20" w:type="dxa"/>
          </w:tblCellMar>
        </w:tblPrEx>
        <w:trPr>
          <w:trHeight w:val="4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产出指标</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数量指标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聘请服务人员数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112</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112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545"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孤儿纳入保障范围率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103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质量指标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符合《养老机构基本服务质量规范》的养老机构比例</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8.5</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服务被投诉率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668"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时效指标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社会化管理服务经费拨付及时性</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成本指标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人员经费支出</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&lt;=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300000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元</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300000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8.3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744"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效益指标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社会效益指标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社会工作和志愿服务项目受益人数</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50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人</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50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13.4</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85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满意度指标</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服务对象满意率</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912" w:hRule="exact"/>
          <w:jc w:val="center"/>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社会公众满意度指标</w:t>
            </w:r>
          </w:p>
        </w:tc>
        <w:tc>
          <w:tcPr>
            <w:tcW w:w="144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服务群众满意度</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&gt;=</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644"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13.3</w:t>
            </w:r>
          </w:p>
        </w:tc>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3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pPr>
          </w:p>
        </w:tc>
      </w:tr>
      <w:tr>
        <w:tblPrEx>
          <w:tblCellMar>
            <w:top w:w="0" w:type="dxa"/>
            <w:left w:w="20" w:type="dxa"/>
            <w:bottom w:w="0" w:type="dxa"/>
            <w:right w:w="20" w:type="dxa"/>
          </w:tblCellMar>
        </w:tblPrEx>
        <w:trPr>
          <w:trHeight w:val="264" w:hRule="exact"/>
          <w:jc w:val="center"/>
        </w:trPr>
        <w:tc>
          <w:tcPr>
            <w:tcW w:w="29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指标自评得分小计</w:t>
            </w:r>
          </w:p>
        </w:tc>
        <w:tc>
          <w:tcPr>
            <w:tcW w:w="32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90</w:t>
            </w:r>
          </w:p>
        </w:tc>
        <w:tc>
          <w:tcPr>
            <w:tcW w:w="24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预算执行率得分</w:t>
            </w:r>
          </w:p>
        </w:tc>
        <w:tc>
          <w:tcPr>
            <w:tcW w:w="1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w:t>
            </w:r>
          </w:p>
        </w:tc>
        <w:tc>
          <w:tcPr>
            <w:tcW w:w="107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减分项</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right"/>
            </w:pPr>
            <w:r>
              <w:rPr>
                <w:rFonts w:ascii="宋体" w:hAnsi="宋体" w:cs="宋体"/>
                <w:color w:val="000000"/>
                <w:sz w:val="19"/>
              </w:rPr>
              <w:t>0</w:t>
            </w:r>
          </w:p>
        </w:tc>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b/>
                <w:color w:val="000000"/>
                <w:sz w:val="19"/>
              </w:rPr>
              <w:t>绩效自评总得分</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pPr>
            <w:r>
              <w:rPr>
                <w:rFonts w:ascii="宋体" w:hAnsi="宋体" w:cs="宋体"/>
                <w:color w:val="000000"/>
                <w:sz w:val="19"/>
              </w:rPr>
              <w:t>100</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24528"/>
    <w:multiLevelType w:val="singleLevel"/>
    <w:tmpl w:val="8E6245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160313"/>
    <w:rsid w:val="00160313"/>
    <w:rsid w:val="009B5D5C"/>
    <w:rsid w:val="00D352A4"/>
    <w:rsid w:val="24016D59"/>
    <w:rsid w:val="2F5E1022"/>
    <w:rsid w:val="374A4DD4"/>
    <w:rsid w:val="38E20EB4"/>
    <w:rsid w:val="3AE728DD"/>
    <w:rsid w:val="43360091"/>
    <w:rsid w:val="55FB0B43"/>
    <w:rsid w:val="5D0D5616"/>
    <w:rsid w:val="7410363A"/>
    <w:rsid w:val="78DE231F"/>
    <w:rsid w:val="7BF76D3C"/>
    <w:rsid w:val="7CA9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3"/>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10">
    <w:name w:val="Footer"/>
    <w:basedOn w:val="1"/>
    <w:qFormat/>
    <w:uiPriority w:val="0"/>
    <w:pPr>
      <w:tabs>
        <w:tab w:val="center" w:pos="4153"/>
        <w:tab w:val="right" w:pos="8306"/>
      </w:tabs>
      <w:snapToGrid w:val="0"/>
      <w:jc w:val="left"/>
    </w:pPr>
    <w:rPr>
      <w:sz w:val="18"/>
      <w:szCs w:val="18"/>
    </w:rPr>
  </w:style>
  <w:style w:type="paragraph" w:customStyle="1" w:styleId="11">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Page Number"/>
    <w:qFormat/>
    <w:uiPriority w:val="0"/>
  </w:style>
  <w:style w:type="character" w:customStyle="1" w:styleId="13">
    <w:name w:val="批注框文本 Char"/>
    <w:link w:val="3"/>
    <w:qFormat/>
    <w:uiPriority w:val="0"/>
    <w:rPr>
      <w:kern w:val="2"/>
      <w:sz w:val="18"/>
      <w:szCs w:val="18"/>
    </w:rPr>
  </w:style>
  <w:style w:type="character" w:customStyle="1" w:styleId="14">
    <w:name w:val="页眉 Char"/>
    <w:link w:val="11"/>
    <w:qFormat/>
    <w:uiPriority w:val="0"/>
    <w:rPr>
      <w:kern w:val="2"/>
      <w:sz w:val="18"/>
      <w:szCs w:val="18"/>
    </w:rPr>
  </w:style>
  <w:style w:type="paragraph" w:customStyle="1" w:styleId="15">
    <w:name w:val="Char"/>
    <w:basedOn w:val="1"/>
    <w:qFormat/>
    <w:uiPriority w:val="0"/>
    <w:pPr>
      <w:widowControl/>
      <w:jc w:val="left"/>
    </w:pPr>
    <w:rPr>
      <w:rFonts w:ascii="Verdana" w:hAnsi="Verdana" w:eastAsia="仿宋_GB2312"/>
      <w:kern w:val="0"/>
      <w:sz w:val="28"/>
      <w:szCs w:val="20"/>
      <w:lang w:eastAsia="en-US"/>
    </w:rPr>
  </w:style>
  <w:style w:type="character" w:customStyle="1" w:styleId="16">
    <w:name w:val="font01"/>
    <w:qFormat/>
    <w:uiPriority w:val="0"/>
    <w:rPr>
      <w:rFonts w:hint="eastAsia" w:ascii="宋体" w:hAnsi="宋体" w:eastAsia="宋体" w:cs="宋体"/>
      <w:color w:val="000000"/>
      <w:sz w:val="24"/>
      <w:szCs w:val="24"/>
      <w:u w:val="none"/>
    </w:rPr>
  </w:style>
  <w:style w:type="character" w:customStyle="1" w:styleId="17">
    <w:name w:val="页眉 Char1"/>
    <w:basedOn w:val="9"/>
    <w:link w:val="5"/>
    <w:qFormat/>
    <w:uiPriority w:val="0"/>
    <w:rPr>
      <w:kern w:val="2"/>
      <w:sz w:val="18"/>
      <w:szCs w:val="18"/>
    </w:rPr>
  </w:style>
  <w:style w:type="character" w:customStyle="1" w:styleId="18">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845FD-82A8-48AA-ACA9-4435F6C517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18001</Words>
  <Characters>22841</Characters>
  <Lines>208</Lines>
  <Paragraphs>58</Paragraphs>
  <TotalTime>57</TotalTime>
  <ScaleCrop>false</ScaleCrop>
  <LinksUpToDate>false</LinksUpToDate>
  <CharactersWithSpaces>23172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2025-08-26T01:28:45Z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4AEB110387284BF9BED4C9651FF17E23</vt:lpwstr>
  </property>
  <property fmtid="{D5CDD505-2E9C-101B-9397-08002B2CF9AE}" pid="4" name="KSOTemplateDocerSaveRecord">
    <vt:lpwstr>eyJoZGlkIjoiYjQwMDI5YjZkZDdkN2JlMGFiOTMyZmY3MzFhMTlhMjciLCJ1c2VySWQiOiIxMDU1MDI3MTY4In0=</vt:lpwstr>
  </property>
</Properties>
</file>